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70DEF644" w:rsidR="007C2FEE" w:rsidRPr="00DC74BD" w:rsidRDefault="00F214D3" w:rsidP="007C2FEE">
      <w:pPr>
        <w:pStyle w:val="Head"/>
      </w:pPr>
      <w:r>
        <w:rPr>
          <w:lang w:val="pt-BR"/>
        </w:rPr>
        <w:t xml:space="preserve">Kleemann │ Quando é a pedra que abre os caminhos </w:t>
      </w:r>
    </w:p>
    <w:p w14:paraId="34A89D42" w14:textId="7E0E1F68" w:rsidR="007C2FEE" w:rsidRPr="00DC74BD" w:rsidRDefault="00F975C6" w:rsidP="007C2FEE">
      <w:pPr>
        <w:pStyle w:val="Subhead"/>
      </w:pPr>
      <w:r>
        <w:rPr>
          <w:bCs/>
          <w:iCs w:val="0"/>
          <w:lang w:val="pt-BR"/>
        </w:rPr>
        <w:t xml:space="preserve">Revitalização de uma comunidade indígena no Canadá com o auxílio da tecnologia moderna da Kleemann </w:t>
      </w:r>
    </w:p>
    <w:p w14:paraId="074FF9E2" w14:textId="588A0A69" w:rsidR="007C2FEE" w:rsidRPr="00DC74BD" w:rsidRDefault="00BA64A4" w:rsidP="00025E1A">
      <w:pPr>
        <w:tabs>
          <w:tab w:val="left" w:pos="2127"/>
        </w:tabs>
        <w:spacing w:after="220"/>
        <w:jc w:val="both"/>
        <w:rPr>
          <w:b/>
          <w:sz w:val="22"/>
          <w:szCs w:val="22"/>
        </w:rPr>
      </w:pPr>
      <w:r>
        <w:rPr>
          <w:b/>
          <w:bCs/>
          <w:sz w:val="22"/>
          <w:szCs w:val="22"/>
          <w:lang w:val="pt-BR"/>
        </w:rPr>
        <w:t>Como parte de um projeto atual, a comunidade indígena Garden River First Nation está fornecendo agregados de rocha para um trecho de 16 quilômetros da Rodovia 17A. Essa rodovia atravessa diretamente a reserva e serve também como desvio da Rodovia Transcanadense, que percorre todo o país. Para atender às exigências em termos de tonelagem e qualidade do agregado, foi feito um investimento em um parque de máquinas Kleemann, que inclui um o britador de mandíbulas MOBICAT MC 110 EVO2, dois britadores de cone do tipo</w:t>
      </w:r>
      <w:r>
        <w:rPr>
          <w:b/>
          <w:bCs/>
          <w:sz w:val="22"/>
          <w:szCs w:val="24"/>
          <w:lang w:val="pt-BR"/>
        </w:rPr>
        <w:t xml:space="preserve"> MOBICONE MCO 90 EVO2</w:t>
      </w:r>
      <w:r>
        <w:rPr>
          <w:b/>
          <w:bCs/>
          <w:sz w:val="22"/>
          <w:szCs w:val="22"/>
          <w:lang w:val="pt-BR"/>
        </w:rPr>
        <w:t xml:space="preserve">, duas plantas de peneiramento </w:t>
      </w:r>
      <w:r>
        <w:rPr>
          <w:b/>
          <w:bCs/>
          <w:sz w:val="22"/>
          <w:szCs w:val="24"/>
          <w:lang w:val="pt-BR"/>
        </w:rPr>
        <w:t xml:space="preserve">MOBISCREEN MSC 953 EVO </w:t>
      </w:r>
      <w:r>
        <w:rPr>
          <w:b/>
          <w:bCs/>
          <w:sz w:val="22"/>
          <w:szCs w:val="22"/>
          <w:lang w:val="pt-BR"/>
        </w:rPr>
        <w:t xml:space="preserve">e um transportador de correia móvel MOBIBELT. Dependendo das exigências para o produto final, as máquinas operam em combinação como plantas de britagem e peneiramento primárias, secundárias e terciárias. </w:t>
      </w:r>
    </w:p>
    <w:p w14:paraId="22320BAD" w14:textId="180C6211" w:rsidR="007C2FEE" w:rsidRPr="00DC74BD" w:rsidRDefault="00D74FAC" w:rsidP="00BC1961">
      <w:pPr>
        <w:pStyle w:val="Absatzberschrift"/>
      </w:pPr>
      <w:r>
        <w:rPr>
          <w:bCs/>
          <w:lang w:val="pt-BR"/>
        </w:rPr>
        <w:t>Tratamento de material gera empregos</w:t>
      </w:r>
    </w:p>
    <w:p w14:paraId="74F6A4A4" w14:textId="5E0A2C00" w:rsidR="007C2FEE" w:rsidRPr="00DC74BD" w:rsidRDefault="00BA64A4" w:rsidP="007C2FEE">
      <w:pPr>
        <w:pStyle w:val="Standardabsatz"/>
      </w:pPr>
      <w:r>
        <w:rPr>
          <w:lang w:val="pt-BR"/>
        </w:rPr>
        <w:t xml:space="preserve">As comunidades indígenas do Canadá são fundamentais para a estrutura do país, pois preservam a cultura indígena, o idioma e os laços familiares. Em algumas comunidades, a população está diminuindo, já que muitos moradores estão se mudando para os grandes centros, onde há mais oportunidades de educação, emprego e moradia. A área da reserva Garden River 14 está localizada a cerca de 700 quilômetros a noroeste de Toronto e conta com 3.500 membros, conhecidos como Garden River First Nation (Primeira Nação da Reserva do Rio Garden). Pouco mais de 1.000 pessoas vivem exatamente na reserva. Entre elas, 200 trabalham na própria comunidade, das quais 13 estão empregadas atualmente no tratamento de materiais. O material tratado é muito importante para a construção da infraestrutura, e as máquinas Kleemann recém-adquiridas contribuem para aumentar a receita e gerar mais empregos. </w:t>
      </w:r>
    </w:p>
    <w:p w14:paraId="35171BA5" w14:textId="70A1EBC9" w:rsidR="007C2FEE" w:rsidRPr="00DC74BD" w:rsidRDefault="00BA64A4" w:rsidP="00BC1961">
      <w:pPr>
        <w:pStyle w:val="Teaserhead"/>
        <w:jc w:val="left"/>
      </w:pPr>
      <w:r>
        <w:rPr>
          <w:bCs/>
          <w:lang w:val="pt-BR"/>
        </w:rPr>
        <w:t>Investimento no futuro</w:t>
      </w:r>
    </w:p>
    <w:p w14:paraId="787C7CCD" w14:textId="2E37B90B" w:rsidR="00BA64A4" w:rsidRPr="00DC74BD" w:rsidRDefault="00BA64A4" w:rsidP="007C2FEE">
      <w:pPr>
        <w:pStyle w:val="Standardabsatz"/>
      </w:pPr>
      <w:r>
        <w:rPr>
          <w:lang w:val="pt-BR"/>
        </w:rPr>
        <w:t xml:space="preserve">A renovação do pavimento rodoviário está em andamento desde o final de 2025 e se estenderá até 2028. São necessárias quase 100.000 toneladas de material para a camada de base, 170.000 toneladas para a subestrutura, bem como 100.000 toneladas de pó de asfalto e Superpave. O sistema moderno e baseado em desempenho, para a produção de misturas asfálticas e a seleção de ligantes para pavimentos rodoviários, foi desenvolvido com o objetivo de garantir que o pavimento resista sem problemas a variações extremas de temperatura e a um alto volume de tráfego. “Quando soubemos que a estrada de contorno seria reabilitada e que participaríamos do projeto como parceiros, percebemos que nosso britador da época estava ultrapassado e não conseguia produzir alguns produtos, como o Superpave”, relembra Chris Morettin, gerente de Entidades Comerciais da Garden River First Nation. “Tivemos que substituir esse modelo por um novo sistema capaz de atender às exigências do Ministério dos Transportes de Ontário.” Morettin e Travis Belleau, chefe do setor de tratamento de materiais, optaram pela combinação de plantas Kleemann. Conduzimos uma análise financeira com base no faturamento previsto. Isso deixou </w:t>
      </w:r>
      <w:r>
        <w:rPr>
          <w:lang w:val="pt-BR"/>
        </w:rPr>
        <w:lastRenderedPageBreak/>
        <w:t>claro que a compra desse equipamento se amortizará ao longo da duração do projeto”, conta Morettin.</w:t>
      </w:r>
    </w:p>
    <w:p w14:paraId="6A0314C1" w14:textId="14ACAC26" w:rsidR="00BA64A4" w:rsidRPr="00DC74BD" w:rsidRDefault="00BA64A4" w:rsidP="00BA64A4">
      <w:pPr>
        <w:spacing w:after="220"/>
        <w:jc w:val="both"/>
        <w:rPr>
          <w:rFonts w:eastAsiaTheme="minorHAnsi" w:cstheme="minorBidi"/>
          <w:sz w:val="22"/>
          <w:szCs w:val="24"/>
        </w:rPr>
      </w:pPr>
      <w:r>
        <w:rPr>
          <w:rFonts w:eastAsiaTheme="minorHAnsi" w:cstheme="minorBidi"/>
          <w:sz w:val="22"/>
          <w:szCs w:val="24"/>
          <w:lang w:val="pt-BR"/>
        </w:rPr>
        <w:t>“No norte de Ontário, existe muita rocha dura. Quanto mais dura for o agregado de rocha, maiores serão os danos causados a um britador de impacto. Por isso, nessa região geográfica, costumam ser usados britadores de mandíbulas e de cone. “Eles são simplesmente mais econômicos”, explica Richard Perzan, vice-presidente de Vendas, Construção e Silvicultura (Região Central) da Brandt, o revendedor local do Wirtgen Group no Canadá.</w:t>
      </w:r>
    </w:p>
    <w:p w14:paraId="33B1C865" w14:textId="3F54EA0C" w:rsidR="00BA64A4" w:rsidRPr="00DC74BD" w:rsidRDefault="00BA64A4" w:rsidP="00BA64A4">
      <w:pPr>
        <w:jc w:val="both"/>
        <w:rPr>
          <w:rFonts w:eastAsiaTheme="minorHAnsi" w:cstheme="minorBidi"/>
          <w:b/>
          <w:bCs/>
          <w:sz w:val="22"/>
          <w:szCs w:val="24"/>
        </w:rPr>
      </w:pPr>
      <w:r>
        <w:rPr>
          <w:rFonts w:eastAsiaTheme="minorHAnsi" w:cstheme="minorBidi"/>
          <w:b/>
          <w:bCs/>
          <w:sz w:val="22"/>
          <w:szCs w:val="24"/>
          <w:lang w:val="pt-BR"/>
        </w:rPr>
        <w:t>Intuitiva, segura e com implementação flexível</w:t>
      </w:r>
    </w:p>
    <w:p w14:paraId="49DEFC3D" w14:textId="3EE7AE4E" w:rsidR="00BA64A4" w:rsidRPr="00DC74BD" w:rsidRDefault="00BA64A4" w:rsidP="000C6FA6">
      <w:pPr>
        <w:spacing w:after="220"/>
        <w:jc w:val="both"/>
        <w:rPr>
          <w:rFonts w:eastAsiaTheme="minorHAnsi" w:cstheme="minorBidi"/>
          <w:sz w:val="22"/>
          <w:szCs w:val="24"/>
        </w:rPr>
      </w:pPr>
      <w:r>
        <w:rPr>
          <w:rFonts w:eastAsiaTheme="minorHAnsi" w:cstheme="minorBidi"/>
          <w:sz w:val="22"/>
          <w:szCs w:val="24"/>
          <w:lang w:val="pt-BR"/>
        </w:rPr>
        <w:t xml:space="preserve">Além do consumo de combustível, Belleau também se impressionou com operação intuitiva. ”Não trabalho há muito tempo na área de tratamento de materiais. Para mim, no entanto, foi muito fácil trabalhar com as máquinas. E acredito que isso diz tudo”, acrescenta ele. “O que mais gosto na tela sensível ao toque são as diversas informações exibidas.” Além disso, Belleau aprecia o fato de que a tela sensível ao toque, no conceito de operação SPECTIVE, é útil para a solução de problemas. “Nossa máquina antiga não tinha tela sensível ao toque. Então, era preciso testar e experimentar bastante. As novas plantas de britagem podem indicar com precisão onde ocorre cada falha. Não é preciso ficar procurando na hora de solucionar problemas. Isso permite diagnosticar as falhas de forma rápida, substituir peças defeituosas e colocar a máquina de volta em operação em um piscar de olhos. Isso é uma vantagem enorme”, enfatiza ele. A operação simples e intuitiva apoia os trabalhadores tanto quanto as funções de segurança. Em caso de problema, a planta aciona um alarme e desliga-se automaticamente. “Como operador, só é preciso ir até a máquina e diagnosticar o código. O fator de segurança integrado às máquinas nos ajudou de forma decisiva a conhecê-las e compreendê-las, de modo que possamos mantê-las em operação por mais tempo”, conta Belleau. Outra vantagem é a interligação inteligente em linha, que também protege as máquinas. Os sensores detectam quando o britador de cone fica muito cheio, então a interligação em linha reduz a velocidade da unidade de alimentação do britador de mandíbulas. </w:t>
      </w:r>
    </w:p>
    <w:p w14:paraId="23E5C7D8" w14:textId="0911F0D4" w:rsidR="00BA64A4" w:rsidRPr="00DC74BD" w:rsidRDefault="00A83486" w:rsidP="00BA64A4">
      <w:pPr>
        <w:jc w:val="both"/>
        <w:rPr>
          <w:rFonts w:eastAsiaTheme="minorHAnsi" w:cstheme="minorBidi"/>
          <w:b/>
          <w:bCs/>
          <w:sz w:val="22"/>
          <w:szCs w:val="24"/>
        </w:rPr>
      </w:pPr>
      <w:r>
        <w:rPr>
          <w:rFonts w:eastAsiaTheme="minorHAnsi" w:cstheme="minorBidi"/>
          <w:b/>
          <w:bCs/>
          <w:sz w:val="22"/>
          <w:szCs w:val="24"/>
          <w:lang w:val="pt-BR"/>
        </w:rPr>
        <w:t>As receitas deverão ser reinvestidas</w:t>
      </w:r>
    </w:p>
    <w:p w14:paraId="41307140" w14:textId="5D8D7773" w:rsidR="00BA64A4" w:rsidRPr="00DC74BD" w:rsidRDefault="00BA64A4" w:rsidP="00BA64A4">
      <w:pPr>
        <w:spacing w:after="220"/>
        <w:jc w:val="both"/>
        <w:rPr>
          <w:rFonts w:eastAsiaTheme="minorHAnsi" w:cstheme="minorBidi"/>
          <w:sz w:val="22"/>
          <w:szCs w:val="24"/>
        </w:rPr>
      </w:pPr>
      <w:r>
        <w:rPr>
          <w:rFonts w:eastAsiaTheme="minorHAnsi" w:cstheme="minorBidi"/>
          <w:sz w:val="22"/>
          <w:szCs w:val="24"/>
          <w:lang w:val="pt-BR"/>
        </w:rPr>
        <w:t xml:space="preserve">O objetivo da Garden River First Nation é fortalecer a revitalização da comunidade com o reinvestimento das receitas. No ano passado, o grupo construiu 20 novas casas e forneceu, por conta própria, todos os agregados de rocha necessários para isso. Com a inauguração de várias subdivisões, o crescimento econômico continua. “Desse modo, geramos mais empregos para a comunidade e oferecemos a mais pessoas a oportunidade de voltar”, declara Belleau. A reabilitação da Rodovia 17A gera novos empregos não apenas no setor de tratamento de materiais, mas também na construção de estradas — afinal, são necessários operadores de máquinas, trabalhadores, topógrafos e outros profissionais. </w:t>
      </w:r>
    </w:p>
    <w:p w14:paraId="002589CE" w14:textId="77777777" w:rsidR="00BA64A4" w:rsidRPr="00DC74BD" w:rsidRDefault="00BA64A4" w:rsidP="00BA64A4">
      <w:pPr>
        <w:jc w:val="both"/>
        <w:rPr>
          <w:rFonts w:eastAsiaTheme="minorHAnsi" w:cstheme="minorBidi"/>
          <w:sz w:val="22"/>
          <w:szCs w:val="24"/>
        </w:rPr>
      </w:pPr>
    </w:p>
    <w:p w14:paraId="50884179" w14:textId="77777777" w:rsidR="00206743" w:rsidRPr="00DC74BD" w:rsidRDefault="00206743">
      <w:pPr>
        <w:rPr>
          <w:b/>
          <w:bCs/>
          <w:sz w:val="22"/>
          <w:szCs w:val="22"/>
        </w:rPr>
      </w:pPr>
      <w:r>
        <w:rPr>
          <w:b/>
          <w:bCs/>
          <w:sz w:val="22"/>
          <w:szCs w:val="22"/>
          <w:lang w:val="pt-BR"/>
        </w:rPr>
        <w:br w:type="page"/>
      </w:r>
    </w:p>
    <w:p w14:paraId="64ABBB85" w14:textId="1394DA52" w:rsidR="007C2FEE" w:rsidRPr="00DC74BD" w:rsidRDefault="007C2FEE" w:rsidP="00BC487A">
      <w:pPr>
        <w:rPr>
          <w:b/>
          <w:bCs/>
          <w:sz w:val="22"/>
          <w:szCs w:val="22"/>
        </w:rPr>
      </w:pPr>
      <w:r>
        <w:rPr>
          <w:b/>
          <w:bCs/>
          <w:sz w:val="22"/>
          <w:szCs w:val="22"/>
          <w:lang w:val="pt-BR"/>
        </w:rPr>
        <w:lastRenderedPageBreak/>
        <w:t>Fotos:</w:t>
      </w:r>
    </w:p>
    <w:p w14:paraId="74F2D6A8" w14:textId="415AA5B4" w:rsidR="00850DDA" w:rsidRDefault="00850DDA" w:rsidP="00BC487A">
      <w:pPr>
        <w:rPr>
          <w:rFonts w:eastAsiaTheme="minorHAnsi" w:cstheme="minorBidi"/>
          <w:b/>
          <w:sz w:val="22"/>
          <w:szCs w:val="24"/>
        </w:rPr>
      </w:pPr>
    </w:p>
    <w:tbl>
      <w:tblPr>
        <w:tblStyle w:val="Tabellenraster"/>
        <w:tblW w:w="963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56"/>
      </w:tblGrid>
      <w:tr w:rsidR="00850DDA" w14:paraId="703CF343" w14:textId="77777777" w:rsidTr="00792F0C">
        <w:trPr>
          <w:trHeight w:val="3028"/>
        </w:trPr>
        <w:tc>
          <w:tcPr>
            <w:tcW w:w="4678" w:type="dxa"/>
          </w:tcPr>
          <w:p w14:paraId="358FE8BC" w14:textId="250140D4" w:rsidR="00850DDA" w:rsidRDefault="00792F0C" w:rsidP="00BC487A">
            <w:pPr>
              <w:rPr>
                <w:rFonts w:eastAsiaTheme="minorHAnsi" w:cstheme="minorBidi"/>
                <w:b/>
                <w:sz w:val="22"/>
                <w:szCs w:val="24"/>
              </w:rPr>
            </w:pPr>
            <w:r>
              <w:rPr>
                <w:b/>
                <w:bCs/>
                <w:sz w:val="22"/>
                <w:szCs w:val="24"/>
                <w:lang w:val="pt-BR"/>
              </w:rPr>
              <w:t xml:space="preserve"> </w:t>
            </w:r>
            <w:r>
              <w:rPr>
                <w:noProof/>
                <w:lang w:val="pt-BR"/>
              </w:rPr>
              <w:drawing>
                <wp:inline distT="0" distB="0" distL="0" distR="0" wp14:anchorId="73B3B985" wp14:editId="24A75762">
                  <wp:extent cx="2520000" cy="1891182"/>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891182"/>
                          </a:xfrm>
                          <a:prstGeom prst="rect">
                            <a:avLst/>
                          </a:prstGeom>
                          <a:noFill/>
                          <a:ln>
                            <a:noFill/>
                          </a:ln>
                        </pic:spPr>
                      </pic:pic>
                    </a:graphicData>
                  </a:graphic>
                </wp:inline>
              </w:drawing>
            </w:r>
          </w:p>
        </w:tc>
        <w:tc>
          <w:tcPr>
            <w:tcW w:w="4956" w:type="dxa"/>
          </w:tcPr>
          <w:p w14:paraId="6CE03422" w14:textId="34072E12" w:rsidR="00792F0C" w:rsidRDefault="00850DDA" w:rsidP="00792F0C">
            <w:pPr>
              <w:rPr>
                <w:rFonts w:eastAsiaTheme="minorHAnsi" w:cstheme="minorBidi"/>
                <w:b/>
                <w:sz w:val="22"/>
                <w:szCs w:val="24"/>
              </w:rPr>
            </w:pPr>
            <w:r>
              <w:rPr>
                <w:noProof/>
                <w:lang w:val="pt-BR"/>
              </w:rPr>
              <w:drawing>
                <wp:inline distT="0" distB="0" distL="0" distR="0" wp14:anchorId="144A707A" wp14:editId="521C74E5">
                  <wp:extent cx="2752725" cy="1273072"/>
                  <wp:effectExtent l="0" t="0" r="0" b="381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759247" cy="1276088"/>
                          </a:xfrm>
                          <a:prstGeom prst="rect">
                            <a:avLst/>
                          </a:prstGeom>
                          <a:noFill/>
                          <a:ln>
                            <a:noFill/>
                          </a:ln>
                        </pic:spPr>
                      </pic:pic>
                    </a:graphicData>
                  </a:graphic>
                </wp:inline>
              </w:drawing>
            </w:r>
            <w:r>
              <w:rPr>
                <w:sz w:val="22"/>
                <w:szCs w:val="24"/>
                <w:lang w:val="pt-BR"/>
              </w:rPr>
              <w:br/>
            </w:r>
            <w:r>
              <w:rPr>
                <w:b/>
                <w:bCs/>
                <w:noProof/>
                <w:sz w:val="20"/>
                <w:szCs w:val="20"/>
                <w:lang w:val="pt-BR"/>
              </w:rPr>
              <w:t>K_pic_EVO_Plant-Train_Ontario_0006</w:t>
            </w:r>
          </w:p>
        </w:tc>
      </w:tr>
      <w:tr w:rsidR="00850DDA" w14:paraId="4183D8E7" w14:textId="77777777" w:rsidTr="00792F0C">
        <w:tc>
          <w:tcPr>
            <w:tcW w:w="4678" w:type="dxa"/>
          </w:tcPr>
          <w:p w14:paraId="1A50F31F" w14:textId="3C20CB4D" w:rsidR="00850DDA" w:rsidRPr="00850DDA" w:rsidRDefault="00792F0C" w:rsidP="00BC487A">
            <w:pPr>
              <w:rPr>
                <w:b/>
                <w:bCs/>
                <w:noProof/>
                <w:sz w:val="20"/>
                <w:szCs w:val="20"/>
              </w:rPr>
            </w:pPr>
            <w:r>
              <w:rPr>
                <w:b/>
                <w:bCs/>
                <w:sz w:val="20"/>
                <w:szCs w:val="20"/>
                <w:lang w:val="pt-BR"/>
              </w:rPr>
              <w:t xml:space="preserve"> K_pic_EVO_Plant-Train_Ontario_0001</w:t>
            </w:r>
          </w:p>
        </w:tc>
        <w:tc>
          <w:tcPr>
            <w:tcW w:w="4956" w:type="dxa"/>
          </w:tcPr>
          <w:p w14:paraId="2E8BBAA3" w14:textId="4C36C475" w:rsidR="00850DDA" w:rsidRPr="00850DDA" w:rsidRDefault="00850DDA" w:rsidP="00BC487A">
            <w:pPr>
              <w:rPr>
                <w:b/>
                <w:bCs/>
                <w:noProof/>
                <w:sz w:val="20"/>
                <w:szCs w:val="20"/>
              </w:rPr>
            </w:pPr>
          </w:p>
        </w:tc>
      </w:tr>
    </w:tbl>
    <w:p w14:paraId="5BFBF390" w14:textId="127F3485" w:rsidR="007C2FEE" w:rsidRPr="00DC74BD" w:rsidRDefault="006A0EB7" w:rsidP="00BA7BC5">
      <w:pPr>
        <w:pStyle w:val="BUbold"/>
        <w:rPr>
          <w:b w:val="0"/>
          <w:color w:val="000000"/>
          <w:szCs w:val="20"/>
        </w:rPr>
      </w:pPr>
      <w:r>
        <w:rPr>
          <w:b w:val="0"/>
          <w:color w:val="000000"/>
          <w:szCs w:val="20"/>
          <w:lang w:val="pt-BR"/>
        </w:rPr>
        <w:t>A comunidade indígena Garden River First Nation, no âmbito de um projeto atual, está fornecendo agregados de rocha para um trecho de 16 quilômetros da Rodovia 17A, graças às modernas plantas Kleemann.</w:t>
      </w:r>
    </w:p>
    <w:p w14:paraId="10AF8B22" w14:textId="42D00DF6" w:rsidR="000D357E" w:rsidRPr="00DC74BD" w:rsidRDefault="000D357E" w:rsidP="000D357E">
      <w:pPr>
        <w:pStyle w:val="BUnormal"/>
      </w:pPr>
    </w:p>
    <w:p w14:paraId="6BBBB646" w14:textId="124301C5" w:rsidR="007C2FEE" w:rsidRPr="00DC74BD" w:rsidRDefault="00025E1A" w:rsidP="007C2FEE">
      <w:pPr>
        <w:pStyle w:val="BUbold"/>
      </w:pPr>
      <w:r>
        <w:rPr>
          <w:b w:val="0"/>
          <w:noProof/>
          <w:lang w:val="pt-BR"/>
        </w:rPr>
        <w:drawing>
          <wp:inline distT="0" distB="0" distL="0" distR="0" wp14:anchorId="1B501264" wp14:editId="69DE3FF2">
            <wp:extent cx="2520000" cy="1891182"/>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891182"/>
                    </a:xfrm>
                    <a:prstGeom prst="rect">
                      <a:avLst/>
                    </a:prstGeom>
                    <a:noFill/>
                    <a:ln>
                      <a:noFill/>
                    </a:ln>
                  </pic:spPr>
                </pic:pic>
              </a:graphicData>
            </a:graphic>
          </wp:inline>
        </w:drawing>
      </w:r>
      <w:r>
        <w:rPr>
          <w:b w:val="0"/>
          <w:lang w:val="pt-BR"/>
        </w:rPr>
        <w:br/>
      </w:r>
      <w:r>
        <w:rPr>
          <w:bCs/>
          <w:lang w:val="pt-BR"/>
        </w:rPr>
        <w:t>K_pic_EVO_Plant-Train_Ontario_0002</w:t>
      </w:r>
    </w:p>
    <w:p w14:paraId="43BC7053" w14:textId="15EA5615" w:rsidR="00980313" w:rsidRPr="00DC74BD" w:rsidRDefault="00025E1A" w:rsidP="007C2FEE">
      <w:pPr>
        <w:pStyle w:val="BUnormal"/>
      </w:pPr>
      <w:r>
        <w:rPr>
          <w:lang w:val="pt-BR"/>
        </w:rPr>
        <w:t xml:space="preserve">Mostra-se muito impressionada com a combinação de plantas Kleemann: a equipe da Garden River First Nation, responsável pelo tratamento de materiais. </w:t>
      </w:r>
    </w:p>
    <w:p w14:paraId="67E83AFA" w14:textId="6DF33779" w:rsidR="00980313" w:rsidRPr="00DC74BD" w:rsidRDefault="00714D6B" w:rsidP="00A96B2E">
      <w:pPr>
        <w:pStyle w:val="Note"/>
      </w:pPr>
      <w:r>
        <w:rPr>
          <w:iCs/>
          <w:lang w:val="pt-BR"/>
        </w:rPr>
        <w:t>Observação: Essas fotos servem apenas para a visualização prévia. Para impressão nas publicações, devem ser usadas as fotos em resolução de 300 dpi, disponíveis para download em anexo.</w:t>
      </w:r>
    </w:p>
    <w:p w14:paraId="717825D0" w14:textId="4B1B0DAB" w:rsidR="00B409DF" w:rsidRPr="00DC74BD" w:rsidRDefault="00B409DF" w:rsidP="00B409DF">
      <w:pPr>
        <w:pStyle w:val="Absatzberschrift"/>
        <w:rPr>
          <w:iCs/>
        </w:rPr>
      </w:pPr>
      <w:r>
        <w:rPr>
          <w:bCs/>
          <w:lang w:val="pt-BR"/>
        </w:rPr>
        <w:t>Para mais informações, entre em contato com:</w:t>
      </w:r>
    </w:p>
    <w:p w14:paraId="294F8CA8" w14:textId="77777777" w:rsidR="00B409DF" w:rsidRPr="00DC74BD" w:rsidRDefault="00B409DF" w:rsidP="00B409DF">
      <w:pPr>
        <w:pStyle w:val="Absatzberschrift"/>
      </w:pPr>
    </w:p>
    <w:p w14:paraId="6BD3D8AD" w14:textId="77777777" w:rsidR="00B409DF" w:rsidRPr="00DC74BD" w:rsidRDefault="00B409DF" w:rsidP="00B409DF">
      <w:pPr>
        <w:pStyle w:val="Absatzberschrift"/>
        <w:rPr>
          <w:b w:val="0"/>
          <w:bCs/>
          <w:szCs w:val="22"/>
        </w:rPr>
      </w:pPr>
      <w:r>
        <w:rPr>
          <w:b w:val="0"/>
          <w:lang w:val="pt-BR"/>
        </w:rPr>
        <w:t>WIRTGEN GROUP</w:t>
      </w:r>
    </w:p>
    <w:p w14:paraId="392C6846" w14:textId="77777777" w:rsidR="00B409DF" w:rsidRPr="00DC74BD" w:rsidRDefault="00B409DF" w:rsidP="00B409DF">
      <w:pPr>
        <w:pStyle w:val="Fuzeile1"/>
      </w:pPr>
      <w:r>
        <w:rPr>
          <w:bCs w:val="0"/>
          <w:iCs w:val="0"/>
          <w:lang w:val="pt-BR"/>
        </w:rPr>
        <w:t>Public Relations</w:t>
      </w:r>
    </w:p>
    <w:p w14:paraId="77A90FFB" w14:textId="77777777" w:rsidR="00B409DF" w:rsidRPr="00DC74BD" w:rsidRDefault="00B409DF" w:rsidP="00B409DF">
      <w:pPr>
        <w:pStyle w:val="Fuzeile1"/>
      </w:pPr>
      <w:r>
        <w:rPr>
          <w:bCs w:val="0"/>
          <w:iCs w:val="0"/>
          <w:lang w:val="pt-BR"/>
        </w:rPr>
        <w:t>Reinhard-Wirtgen-Straße 2</w:t>
      </w:r>
    </w:p>
    <w:p w14:paraId="2BD7061F" w14:textId="77777777" w:rsidR="00B409DF" w:rsidRPr="00DC74BD" w:rsidRDefault="00B409DF" w:rsidP="00B409DF">
      <w:pPr>
        <w:pStyle w:val="Fuzeile1"/>
      </w:pPr>
      <w:r>
        <w:rPr>
          <w:bCs w:val="0"/>
          <w:iCs w:val="0"/>
          <w:lang w:val="pt-BR"/>
        </w:rPr>
        <w:t>53578 Windhagen</w:t>
      </w:r>
    </w:p>
    <w:p w14:paraId="7312A980" w14:textId="77777777" w:rsidR="00B409DF" w:rsidRPr="00DC74BD" w:rsidRDefault="00B409DF" w:rsidP="00B409DF">
      <w:pPr>
        <w:pStyle w:val="Fuzeile1"/>
      </w:pPr>
      <w:r>
        <w:rPr>
          <w:bCs w:val="0"/>
          <w:iCs w:val="0"/>
          <w:lang w:val="pt-BR"/>
        </w:rPr>
        <w:t>Alemanha</w:t>
      </w:r>
    </w:p>
    <w:p w14:paraId="2DFD9654" w14:textId="77777777" w:rsidR="00B409DF" w:rsidRPr="00DC74BD" w:rsidRDefault="00B409DF" w:rsidP="00B409DF">
      <w:pPr>
        <w:pStyle w:val="Fuzeile1"/>
      </w:pPr>
    </w:p>
    <w:p w14:paraId="747CCDAF" w14:textId="78D0EB80" w:rsidR="00B409DF" w:rsidRPr="00DC74BD" w:rsidRDefault="00B409DF" w:rsidP="004359A0">
      <w:pPr>
        <w:pStyle w:val="Fuzeile1"/>
        <w:tabs>
          <w:tab w:val="left" w:pos="1985"/>
        </w:tabs>
        <w:rPr>
          <w:rFonts w:ascii="Times New Roman" w:hAnsi="Times New Roman" w:cs="Times New Roman"/>
        </w:rPr>
      </w:pPr>
      <w:r>
        <w:rPr>
          <w:bCs w:val="0"/>
          <w:iCs w:val="0"/>
          <w:lang w:val="pt-BR"/>
        </w:rPr>
        <w:t>Telefone:</w:t>
      </w:r>
      <w:r>
        <w:rPr>
          <w:bCs w:val="0"/>
          <w:iCs w:val="0"/>
          <w:lang w:val="pt-BR"/>
        </w:rPr>
        <w:tab/>
        <w:t>+49 (0) 2645 131 – 1966</w:t>
      </w:r>
    </w:p>
    <w:p w14:paraId="72EBA31D" w14:textId="369121F8" w:rsidR="00B409DF" w:rsidRPr="00DC74BD" w:rsidRDefault="00B409DF" w:rsidP="004359A0">
      <w:pPr>
        <w:pStyle w:val="Fuzeile1"/>
        <w:tabs>
          <w:tab w:val="left" w:pos="1985"/>
        </w:tabs>
      </w:pPr>
      <w:r>
        <w:rPr>
          <w:bCs w:val="0"/>
          <w:iCs w:val="0"/>
          <w:lang w:val="pt-BR"/>
        </w:rPr>
        <w:t>Fax:</w:t>
      </w:r>
      <w:r>
        <w:rPr>
          <w:bCs w:val="0"/>
          <w:iCs w:val="0"/>
          <w:lang w:val="pt-BR"/>
        </w:rPr>
        <w:tab/>
        <w:t>+49 (0) 2645 131 – 499</w:t>
      </w:r>
    </w:p>
    <w:p w14:paraId="54DD8925" w14:textId="01E7877D" w:rsidR="00B409DF" w:rsidRPr="00DC74BD" w:rsidRDefault="00B409DF" w:rsidP="004359A0">
      <w:pPr>
        <w:pStyle w:val="Fuzeile1"/>
        <w:tabs>
          <w:tab w:val="left" w:pos="1985"/>
        </w:tabs>
      </w:pPr>
      <w:r>
        <w:rPr>
          <w:bCs w:val="0"/>
          <w:iCs w:val="0"/>
          <w:lang w:val="pt-BR"/>
        </w:rPr>
        <w:t>E-mail:</w:t>
      </w:r>
      <w:r>
        <w:rPr>
          <w:bCs w:val="0"/>
          <w:iCs w:val="0"/>
          <w:lang w:val="pt-BR"/>
        </w:rPr>
        <w:tab/>
      </w:r>
      <w:hyperlink r:id="rId11" w:history="1">
        <w:r>
          <w:rPr>
            <w:rStyle w:val="Hyperlink"/>
            <w:bCs w:val="0"/>
            <w:iCs w:val="0"/>
            <w:lang w:val="pt-BR"/>
          </w:rPr>
          <w:t>PR@wirtgen-group.com</w:t>
        </w:r>
      </w:hyperlink>
    </w:p>
    <w:p w14:paraId="51E322C9" w14:textId="77777777" w:rsidR="00B409DF" w:rsidRPr="00DC74BD" w:rsidRDefault="00B409DF" w:rsidP="00B409DF">
      <w:pPr>
        <w:pStyle w:val="Fuzeile1"/>
        <w:rPr>
          <w:vanish/>
        </w:rPr>
      </w:pPr>
    </w:p>
    <w:p w14:paraId="02ED9A5B" w14:textId="5916C5DE" w:rsidR="00A76CDD" w:rsidRPr="00DC74BD" w:rsidRDefault="004359A0" w:rsidP="00B409DF">
      <w:pPr>
        <w:pStyle w:val="Fuzeile1"/>
      </w:pPr>
      <w:hyperlink r:id="rId12" w:history="1">
        <w:r w:rsidR="00792F0C">
          <w:rPr>
            <w:rStyle w:val="Hyperlink"/>
            <w:bCs w:val="0"/>
            <w:iCs w:val="0"/>
            <w:lang w:val="pt-BR"/>
          </w:rPr>
          <w:t>www.wirtgen-group.com</w:t>
        </w:r>
      </w:hyperlink>
    </w:p>
    <w:sectPr w:rsidR="00A76CDD" w:rsidRPr="00DC74BD" w:rsidSect="00CA4A09">
      <w:headerReference w:type="even" r:id="rId13"/>
      <w:headerReference w:type="default" r:id="rId14"/>
      <w:footerReference w:type="default" r:id="rId15"/>
      <w:headerReference w:type="first" r:id="rId16"/>
      <w:footerReference w:type="first" r:id="rId17"/>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847F0" w14:textId="77777777" w:rsidR="00B3683A" w:rsidRDefault="00B3683A" w:rsidP="00E55534">
      <w:r>
        <w:separator/>
      </w:r>
    </w:p>
  </w:endnote>
  <w:endnote w:type="continuationSeparator" w:id="0">
    <w:p w14:paraId="5C0A79A9" w14:textId="77777777" w:rsidR="00B3683A" w:rsidRDefault="00B3683A"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pt-BR"/>
            </w:rPr>
            <w:t xml:space="preserve">     </w:t>
          </w:r>
        </w:p>
      </w:tc>
      <w:tc>
        <w:tcPr>
          <w:tcW w:w="1160" w:type="dxa"/>
        </w:tcPr>
        <w:p w14:paraId="120FF8E6" w14:textId="77777777" w:rsidR="00533132" w:rsidRPr="00723F4F" w:rsidRDefault="00533132" w:rsidP="00723F4F">
          <w:pPr>
            <w:pStyle w:val="Seitenzahlen"/>
            <w:rPr>
              <w:szCs w:val="20"/>
            </w:rPr>
          </w:pPr>
          <w:r>
            <w:rPr>
              <w:szCs w:val="20"/>
              <w:lang w:val="pt-BR"/>
            </w:rPr>
            <w:fldChar w:fldCharType="begin"/>
          </w:r>
          <w:r>
            <w:rPr>
              <w:szCs w:val="20"/>
              <w:lang w:val="pt-BR"/>
            </w:rPr>
            <w:instrText xml:space="preserve"> PAGE \# "00"</w:instrText>
          </w:r>
          <w:r>
            <w:rPr>
              <w:szCs w:val="20"/>
              <w:lang w:val="pt-BR"/>
            </w:rPr>
            <w:fldChar w:fldCharType="separate"/>
          </w:r>
          <w:r>
            <w:rPr>
              <w:noProof/>
              <w:szCs w:val="20"/>
              <w:lang w:val="pt-BR"/>
            </w:rPr>
            <w:t>02</w:t>
          </w:r>
          <w:r>
            <w:rPr>
              <w:szCs w:val="20"/>
              <w:lang w:val="pt-BR"/>
            </w:rPr>
            <w:fldChar w:fldCharType="end"/>
          </w:r>
        </w:p>
      </w:tc>
    </w:tr>
  </w:tbl>
  <w:p w14:paraId="7CF7D2C8" w14:textId="77777777" w:rsidR="00533132" w:rsidRDefault="00BD5391">
    <w:pPr>
      <w:pStyle w:val="Fuzeile"/>
    </w:pPr>
    <w:r>
      <w:rPr>
        <w:noProof/>
        <w:lang w:val="pt-B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 w:val="0"/>
              <w:iCs w:val="0"/>
              <w:szCs w:val="20"/>
              <w:lang w:val="pt-BR"/>
            </w:rPr>
            <w:t>WIRTGEN</w:t>
          </w:r>
          <w:r>
            <w:rPr>
              <w:rStyle w:val="Hervorhebung"/>
              <w:bCs/>
              <w:iCs w:val="0"/>
              <w:szCs w:val="20"/>
              <w:lang w:val="pt-BR"/>
            </w:rPr>
            <w:t xml:space="preserve"> GmbH</w:t>
          </w:r>
          <w:r>
            <w:rPr>
              <w:szCs w:val="20"/>
              <w:lang w:val="pt-BR"/>
            </w:rPr>
            <w:t xml:space="preserve"> · Reinhard-Wirtgen-Str. 2 · D-53578 Windhagen · T: +49 26 45 / 131 0</w:t>
          </w:r>
        </w:p>
      </w:tc>
    </w:tr>
  </w:tbl>
  <w:p w14:paraId="732BEB33" w14:textId="77777777" w:rsidR="00533132" w:rsidRDefault="00BD5391">
    <w:pPr>
      <w:pStyle w:val="Fuzeile"/>
    </w:pPr>
    <w:r>
      <w:rPr>
        <w:noProof/>
        <w:lang w:val="pt-B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488D0" w14:textId="77777777" w:rsidR="00B3683A" w:rsidRDefault="00B3683A" w:rsidP="00E55534">
      <w:r>
        <w:separator/>
      </w:r>
    </w:p>
  </w:footnote>
  <w:footnote w:type="continuationSeparator" w:id="0">
    <w:p w14:paraId="26738C45" w14:textId="77777777" w:rsidR="00B3683A" w:rsidRDefault="00B3683A"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pt-BR"/>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pt-B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pt-b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pt-BR"/>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297EA5DB" w:rsidR="00615CDA" w:rsidRPr="00615CDA" w:rsidRDefault="00F214D3">
                          <w:pPr>
                            <w:rPr>
                              <w:rFonts w:ascii="Calibri" w:eastAsia="Calibri" w:hAnsi="Calibri" w:cs="Calibri"/>
                              <w:noProof/>
                              <w:color w:val="FF0000"/>
                              <w:sz w:val="20"/>
                              <w:szCs w:val="20"/>
                            </w:rPr>
                          </w:pPr>
                          <w:r>
                            <w:rPr>
                              <w:rFonts w:ascii="Calibri" w:eastAsia="Calibri" w:hAnsi="Calibri" w:cs="Calibri"/>
                              <w:noProof/>
                              <w:color w:val="FF0000"/>
                              <w:sz w:val="20"/>
                              <w:szCs w:val="20"/>
                              <w:lang w:val="pt-B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297EA5DB" w:rsidR="00615CDA" w:rsidRPr="00615CDA" w:rsidRDefault="00F214D3">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pt-br"/>
                        <w:b w:val="0"/>
                        <w:bCs w:val="0"/>
                        <w:i w:val="0"/>
                        <w:iCs w:val="0"/>
                        <w:u w:val="none"/>
                        <w:vertAlign w:val="baseline"/>
                        <w:rtl w:val="0"/>
                      </w:rPr>
                      <w:t xml:space="preserve">Public</w:t>
                    </w:r>
                  </w:p>
                </w:txbxContent>
              </v:textbox>
              <w10:wrap type="square" anchorx="margin"/>
            </v:shape>
          </w:pict>
        </mc:Fallback>
      </mc:AlternateContent>
    </w:r>
    <w:r>
      <w:rPr>
        <w:noProof/>
        <w:lang w:val="pt-BR"/>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pt-BR"/>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pt-B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pt-br"/>
                        <w:b w:val="0"/>
                        <w:bCs w:val="0"/>
                        <w:i w:val="0"/>
                        <w:iCs w:val="0"/>
                        <w:u w:val="none"/>
                        <w:vertAlign w:val="baseline"/>
                        <w:rtl w:val="0"/>
                      </w:rPr>
                      <w:t xml:space="preserve">Company Use</w:t>
                    </w:r>
                  </w:p>
                </w:txbxContent>
              </v:textbox>
              <w10:wrap type="square" anchorx="margin"/>
            </v:shape>
          </w:pict>
        </mc:Fallback>
      </mc:AlternateContent>
    </w:r>
    <w:r>
      <w:rPr>
        <w:noProof/>
        <w:lang w:val="pt-B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pt-B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pt-B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5E1A"/>
    <w:rsid w:val="000278CB"/>
    <w:rsid w:val="000401F1"/>
    <w:rsid w:val="00042106"/>
    <w:rsid w:val="0005285B"/>
    <w:rsid w:val="00055529"/>
    <w:rsid w:val="00056224"/>
    <w:rsid w:val="00062C3A"/>
    <w:rsid w:val="00066D09"/>
    <w:rsid w:val="000960E7"/>
    <w:rsid w:val="0009665C"/>
    <w:rsid w:val="000A0479"/>
    <w:rsid w:val="000A36D9"/>
    <w:rsid w:val="000A4C7D"/>
    <w:rsid w:val="000B582B"/>
    <w:rsid w:val="000C6FA6"/>
    <w:rsid w:val="000C7C82"/>
    <w:rsid w:val="000D15C3"/>
    <w:rsid w:val="000D357E"/>
    <w:rsid w:val="000E24F8"/>
    <w:rsid w:val="000E5738"/>
    <w:rsid w:val="000F3749"/>
    <w:rsid w:val="0010320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D68E9"/>
    <w:rsid w:val="001F359E"/>
    <w:rsid w:val="00200355"/>
    <w:rsid w:val="00206743"/>
    <w:rsid w:val="0021351D"/>
    <w:rsid w:val="00253A2E"/>
    <w:rsid w:val="002603EC"/>
    <w:rsid w:val="00282AFC"/>
    <w:rsid w:val="00286C15"/>
    <w:rsid w:val="0029634D"/>
    <w:rsid w:val="002C5E24"/>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84A08"/>
    <w:rsid w:val="003850A9"/>
    <w:rsid w:val="003855F5"/>
    <w:rsid w:val="003866B7"/>
    <w:rsid w:val="003967E5"/>
    <w:rsid w:val="003A753A"/>
    <w:rsid w:val="003A7DF0"/>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30BB0"/>
    <w:rsid w:val="004359A0"/>
    <w:rsid w:val="00467F3C"/>
    <w:rsid w:val="0047498D"/>
    <w:rsid w:val="00476100"/>
    <w:rsid w:val="00487BFC"/>
    <w:rsid w:val="004A1833"/>
    <w:rsid w:val="004B3E60"/>
    <w:rsid w:val="004C1967"/>
    <w:rsid w:val="004D23D0"/>
    <w:rsid w:val="004D2BE0"/>
    <w:rsid w:val="004E0A77"/>
    <w:rsid w:val="004E61FD"/>
    <w:rsid w:val="004E6E37"/>
    <w:rsid w:val="004E6EF5"/>
    <w:rsid w:val="004E74CA"/>
    <w:rsid w:val="00506409"/>
    <w:rsid w:val="005129F2"/>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2B78"/>
    <w:rsid w:val="005A4F04"/>
    <w:rsid w:val="005B5793"/>
    <w:rsid w:val="005C6B30"/>
    <w:rsid w:val="005C71EC"/>
    <w:rsid w:val="005D7B09"/>
    <w:rsid w:val="005E764C"/>
    <w:rsid w:val="005F16C3"/>
    <w:rsid w:val="006063D4"/>
    <w:rsid w:val="00612D6C"/>
    <w:rsid w:val="00615CDA"/>
    <w:rsid w:val="00623B37"/>
    <w:rsid w:val="006330A2"/>
    <w:rsid w:val="00642EB6"/>
    <w:rsid w:val="006433E2"/>
    <w:rsid w:val="00651E5D"/>
    <w:rsid w:val="00667723"/>
    <w:rsid w:val="00677F11"/>
    <w:rsid w:val="00682B1A"/>
    <w:rsid w:val="00690D7C"/>
    <w:rsid w:val="00690DFE"/>
    <w:rsid w:val="00691678"/>
    <w:rsid w:val="006A0EB7"/>
    <w:rsid w:val="006B3EEC"/>
    <w:rsid w:val="006C0C87"/>
    <w:rsid w:val="006D7EAC"/>
    <w:rsid w:val="006E0104"/>
    <w:rsid w:val="006F7602"/>
    <w:rsid w:val="007100BC"/>
    <w:rsid w:val="00714D6B"/>
    <w:rsid w:val="00722A17"/>
    <w:rsid w:val="00723F4F"/>
    <w:rsid w:val="00755AE0"/>
    <w:rsid w:val="0075761B"/>
    <w:rsid w:val="00757B83"/>
    <w:rsid w:val="00772557"/>
    <w:rsid w:val="00774358"/>
    <w:rsid w:val="00790BE8"/>
    <w:rsid w:val="00791A69"/>
    <w:rsid w:val="00792F0C"/>
    <w:rsid w:val="0079462A"/>
    <w:rsid w:val="00794830"/>
    <w:rsid w:val="00797CAA"/>
    <w:rsid w:val="007A2B6F"/>
    <w:rsid w:val="007A46B3"/>
    <w:rsid w:val="007A6BD2"/>
    <w:rsid w:val="007B00DF"/>
    <w:rsid w:val="007B7CE0"/>
    <w:rsid w:val="007C2658"/>
    <w:rsid w:val="007C2FEE"/>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50DDA"/>
    <w:rsid w:val="00863129"/>
    <w:rsid w:val="00866830"/>
    <w:rsid w:val="00870ACE"/>
    <w:rsid w:val="00872F70"/>
    <w:rsid w:val="00873125"/>
    <w:rsid w:val="008755E5"/>
    <w:rsid w:val="00880ED3"/>
    <w:rsid w:val="00881E44"/>
    <w:rsid w:val="008902DC"/>
    <w:rsid w:val="00892F6F"/>
    <w:rsid w:val="00896F7E"/>
    <w:rsid w:val="008A3E9C"/>
    <w:rsid w:val="008B1EB7"/>
    <w:rsid w:val="008C2A29"/>
    <w:rsid w:val="008C2DB2"/>
    <w:rsid w:val="008D26D8"/>
    <w:rsid w:val="008D770E"/>
    <w:rsid w:val="008F7BB7"/>
    <w:rsid w:val="0090337E"/>
    <w:rsid w:val="009049D8"/>
    <w:rsid w:val="00910609"/>
    <w:rsid w:val="009125E2"/>
    <w:rsid w:val="00914C7E"/>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3BF"/>
    <w:rsid w:val="009D016F"/>
    <w:rsid w:val="009E251D"/>
    <w:rsid w:val="009F0ABD"/>
    <w:rsid w:val="009F10A8"/>
    <w:rsid w:val="009F715C"/>
    <w:rsid w:val="00A01ABA"/>
    <w:rsid w:val="00A02F49"/>
    <w:rsid w:val="00A04B29"/>
    <w:rsid w:val="00A13C4A"/>
    <w:rsid w:val="00A171F4"/>
    <w:rsid w:val="00A1772D"/>
    <w:rsid w:val="00A177B2"/>
    <w:rsid w:val="00A22BD8"/>
    <w:rsid w:val="00A24EFC"/>
    <w:rsid w:val="00A27829"/>
    <w:rsid w:val="00A30886"/>
    <w:rsid w:val="00A46F1E"/>
    <w:rsid w:val="00A60AF5"/>
    <w:rsid w:val="00A76CDD"/>
    <w:rsid w:val="00A82395"/>
    <w:rsid w:val="00A83486"/>
    <w:rsid w:val="00A9389A"/>
    <w:rsid w:val="00A96B2E"/>
    <w:rsid w:val="00A977CE"/>
    <w:rsid w:val="00AB52F9"/>
    <w:rsid w:val="00AC3138"/>
    <w:rsid w:val="00AC6F42"/>
    <w:rsid w:val="00AD131F"/>
    <w:rsid w:val="00AD32D5"/>
    <w:rsid w:val="00AD70E4"/>
    <w:rsid w:val="00AF3B3A"/>
    <w:rsid w:val="00AF4E8E"/>
    <w:rsid w:val="00AF6569"/>
    <w:rsid w:val="00B06265"/>
    <w:rsid w:val="00B115B5"/>
    <w:rsid w:val="00B3683A"/>
    <w:rsid w:val="00B409DF"/>
    <w:rsid w:val="00B5232A"/>
    <w:rsid w:val="00B60ED1"/>
    <w:rsid w:val="00B62CF5"/>
    <w:rsid w:val="00B63C90"/>
    <w:rsid w:val="00B65A46"/>
    <w:rsid w:val="00B70425"/>
    <w:rsid w:val="00B85705"/>
    <w:rsid w:val="00B874DC"/>
    <w:rsid w:val="00B90F78"/>
    <w:rsid w:val="00B91123"/>
    <w:rsid w:val="00B937EB"/>
    <w:rsid w:val="00B955DE"/>
    <w:rsid w:val="00BA64A4"/>
    <w:rsid w:val="00BA7BC5"/>
    <w:rsid w:val="00BB21EB"/>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444"/>
    <w:rsid w:val="00D36BA2"/>
    <w:rsid w:val="00D37CF4"/>
    <w:rsid w:val="00D4487C"/>
    <w:rsid w:val="00D574E6"/>
    <w:rsid w:val="00D63D33"/>
    <w:rsid w:val="00D73352"/>
    <w:rsid w:val="00D74EA4"/>
    <w:rsid w:val="00D74FAC"/>
    <w:rsid w:val="00D84E46"/>
    <w:rsid w:val="00D935C3"/>
    <w:rsid w:val="00DA0266"/>
    <w:rsid w:val="00DA0F4B"/>
    <w:rsid w:val="00DA2576"/>
    <w:rsid w:val="00DA477E"/>
    <w:rsid w:val="00DB4BB0"/>
    <w:rsid w:val="00DC74BD"/>
    <w:rsid w:val="00DD0C2F"/>
    <w:rsid w:val="00DE461D"/>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E0109"/>
    <w:rsid w:val="00EF2575"/>
    <w:rsid w:val="00EF5828"/>
    <w:rsid w:val="00F048D4"/>
    <w:rsid w:val="00F207FE"/>
    <w:rsid w:val="00F20920"/>
    <w:rsid w:val="00F214D3"/>
    <w:rsid w:val="00F23212"/>
    <w:rsid w:val="00F33B16"/>
    <w:rsid w:val="00F353EA"/>
    <w:rsid w:val="00F36C27"/>
    <w:rsid w:val="00F56318"/>
    <w:rsid w:val="00F665EF"/>
    <w:rsid w:val="00F67C95"/>
    <w:rsid w:val="00F74540"/>
    <w:rsid w:val="00F75B79"/>
    <w:rsid w:val="00F82525"/>
    <w:rsid w:val="00F91AC4"/>
    <w:rsid w:val="00F975C6"/>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EE0109"/>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02987651">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743797774">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958028455">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irtgen-group.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wirtgen-group.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3</Pages>
  <Words>956</Words>
  <Characters>6025</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6968</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2026-07-30T14:10:00Z</dcterms:created>
  <dcterms:modified xsi:type="dcterms:W3CDTF">2026-08-13T06:23:00Z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